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ehemiah-9"/>
    <w:p>
      <w:pPr>
        <w:pStyle w:val="Heading1"/>
      </w:pPr>
      <w:r>
        <w:t xml:space="preserve">Homiletics Analysis: Nehemiah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Nehemiah 8–10 as a Covenant Renewal Unit:</w:t>
      </w:r>
      <w:r>
        <w:t xml:space="preserve"> </w:t>
      </w:r>
      <w:r>
        <w:t xml:space="preserve">Nehemiah 9 sits within a three-chapter movement that constitutes the theological climax of the book: the reading of the Law (ch. 8), the great prayer of confession and covenant history (ch. 9), and the binding covenant commitment of the people (ch. 10). Chapter 9 is not free-standing in the sense that its prayer is the hinge between hearing the Word and binding oneself to obedience. That said, the chapter’s prayer is itself a complete, internally coherent theological argument — a sweeping recital of God’s faithfulness set against Israel’s recurring unfaithfulness — and it makes its own complete claim. It is treated here as the primary unit, with the Nehemiah 8–10 context noted where load-bearing.</w:t>
      </w:r>
    </w:p>
    <w:p>
      <w:pPr>
        <w:pStyle w:val="BodyText"/>
      </w:pPr>
      <w:r>
        <w:rPr>
          <w:b/>
          <w:bCs/>
        </w:rPr>
        <w:t xml:space="preserve">This Text — Content:</w:t>
      </w:r>
      <w:r>
        <w:t xml:space="preserve"> </w:t>
      </w:r>
      <w:r>
        <w:t xml:space="preserve">The returned exiles, assembled in fasting and sackcloth, separate themselves from foreigners and confess their sins (vv. 1–3). The Levites lead them in a corporate liturgical prayer of extraordinary theological density (vv. 4–38). The prayer moves through the entire arc of Israel’s history in seven identifiable movements: (1) God’s creation and covenant with Abraham, confirmed by divine oath (vv. 6–8); (2) the Exodus and Sinai, where God proved Himself faithful and gave His law (vv. 9–15); (3) Israel’s rebellion in the wilderness despite continuous provision — the golden calf, the rejected land, the sustained grace (vv. 16–25); (4) the Conquest and the Judges cycle: inheritance received, then rebellion, oppression, cry, deliverance, and rebellion again — repeated (vv. 26–28); (5) the prophetic era and the rejection of the prophets, leading to exile (vv. 29–31); (6) the present distress: Persia’s dominion over the land God gave them, the fruit still going to foreign kings (vv. 32–37); and (7) the binding covenant response —</w:t>
      </w:r>
      <w:r>
        <w:t xml:space="preserve"> </w:t>
      </w:r>
      <w:r>
        <w:t xml:space="preserve">“because of all this, we make a firm covenant”</w:t>
      </w:r>
      <w:r>
        <w:t xml:space="preserve"> </w:t>
      </w:r>
      <w:r>
        <w:t xml:space="preserve">(v. 38). Throughout, the prayer employs a consistent theological grammar: God’s greatness and faithfulness stated, Israel’s rebellion named, God’s continued grace despite that rebellion demonstrated, and the cycle beginning again. The prayer is not primarily a petition — it is a theological reckoning, a structured laying-bare of the whole story before God.</w:t>
      </w:r>
    </w:p>
    <w:p>
      <w:pPr>
        <w:pStyle w:val="BodyText"/>
      </w:pPr>
      <w:r>
        <w:rPr>
          <w:b/>
          <w:bCs/>
        </w:rPr>
        <w:t xml:space="preserve">This Text — Intent:</w:t>
      </w:r>
      <w:r>
        <w:t xml:space="preserve"> </w:t>
      </w:r>
      <w:r>
        <w:t xml:space="preserve">God is seeking to bring His people to the place where they see the whole story clearly — not selectively — so that their covenant response is grounded in reality rather than sentiment. The intent is not primarily to induce guilt but to produce rightly-ordered worship: a people who know who God is (supremely faithful, infinitely patient, righteously just), who know who they are (chronically rebellious, perpetually mercy-dependent), and who therefore bind themselves to covenant fidelity not out of moral optimism but out of clear-eyed, grace-anchored reckoning. The prayer models what honest corporate worship looks like when a community refuses both self-congratulation and despair — it holds God’s character and human failure together without flinching from either.</w:t>
      </w:r>
    </w:p>
    <w:p>
      <w:r>
        <w:pict>
          <v:rect style="width:0;height:1.5pt" o:hralign="center" o:hrstd="t" o:hr="t"/>
        </w:pict>
      </w:r>
    </w:p>
    <w:p>
      <w:pPr>
        <w:pStyle w:val="FirstParagraph"/>
      </w:pPr>
      <w:r>
        <w:rPr>
          <w:b/>
          <w:bCs/>
        </w:rPr>
        <w:t xml:space="preserve">Subject Sentence:</w:t>
      </w:r>
      <w:r>
        <w:t xml:space="preserve"> </w:t>
      </w:r>
      <w:r>
        <w:t xml:space="preserve">God’s covenant faithfulness towers over Israel’s unbroken record of rebellion — and demands a renewed covenant response.</w:t>
      </w:r>
    </w:p>
    <w:p>
      <w:r>
        <w:pict>
          <v:rect style="width:0;height:1.5pt" o:hralign="center" o:hrstd="t" o:hr="t"/>
        </w:pict>
      </w:r>
    </w:p>
    <w:p>
      <w:pPr>
        <w:pStyle w:val="FirstParagraph"/>
      </w:pPr>
      <w:r>
        <w:rPr>
          <w:b/>
          <w:bCs/>
        </w:rPr>
        <w:t xml:space="preserve">Primary Claim:</w:t>
      </w:r>
      <w:r>
        <w:t xml:space="preserve"> </w:t>
      </w:r>
      <w:r>
        <w:t xml:space="preserve">God is calling His people to see the whole story of their failure and His faithfulness together, so that their covenant renewal is grounded not in optimism about themselves but in confidence in Him — and so that they stop treating grace as license and start treating it as a summons.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prayer’s structure and its theological logic:</w:t>
      </w:r>
      <w:r>
        <w:t xml:space="preserve"> </w:t>
      </w:r>
      <w:r>
        <w:t xml:space="preserve">Some interpreters read Nehemiah 9 primarily as a penitential psalm structured around Israel’s guilt — the function being to maximize confession before a covenant-binding act. This reading is partially correct but misses the prayer’s structural center of gravity. The repeated pattern is not guilt → forgiveness → guilt, but rather</w:t>
      </w:r>
      <w:r>
        <w:t xml:space="preserve"> </w:t>
      </w:r>
      <w:r>
        <w:rPr>
          <w:b/>
          <w:bCs/>
        </w:rPr>
        <w:t xml:space="preserve">God’s great acts → Israel’s rebellion → God’s sustained faithfulness despite rebellion → repeat.</w:t>
      </w:r>
      <w:r>
        <w:t xml:space="preserve"> </w:t>
      </w:r>
      <w:r>
        <w:t xml:space="preserve">The primary subject of the prayer is</w:t>
      </w:r>
      <w:r>
        <w:t xml:space="preserve"> </w:t>
      </w:r>
      <w:r>
        <w:rPr>
          <w:i/>
          <w:iCs/>
        </w:rPr>
        <w:t xml:space="preserve">God</w:t>
      </w:r>
      <w:r>
        <w:t xml:space="preserve">, not Israel. Israel’s failures are narrated, but they are narrated against the backdrop of God’s character, which is the prayer’s dominant note. A preaching approach that makes this primarily a confession-of-sin text will flatten the prayer’s actual rhetorical movement, which is doxological even in its confessional moments.</w:t>
      </w:r>
    </w:p>
    <w:p>
      <w:pPr>
        <w:pStyle w:val="BodyText"/>
      </w:pPr>
      <w:r>
        <w:rPr>
          <w:b/>
          <w:bCs/>
        </w:rPr>
        <w:t xml:space="preserve">Arminian/Wesleyan reading — human responsibility and response:</w:t>
      </w:r>
      <w:r>
        <w:t xml:space="preserve"> </w:t>
      </w:r>
      <w:r>
        <w:t xml:space="preserve">Wesleyan interpreters often emphasize the repeated cycles as evidence that the people had genuine freedom to choose differently at each point and kept failing to do so. The prayer does support human moral accountability — the Levites use the language of</w:t>
      </w:r>
      <w:r>
        <w:t xml:space="preserve"> </w:t>
      </w:r>
      <w:r>
        <w:t xml:space="preserve">“they refused to obey”</w:t>
      </w:r>
      <w:r>
        <w:t xml:space="preserve"> </w:t>
      </w:r>
      <w:r>
        <w:t xml:space="preserve">(v. 17),</w:t>
      </w:r>
      <w:r>
        <w:t xml:space="preserve"> </w:t>
      </w:r>
      <w:r>
        <w:t xml:space="preserve">“they were disobedient and rebelled”</w:t>
      </w:r>
      <w:r>
        <w:t xml:space="preserve"> </w:t>
      </w:r>
      <w:r>
        <w:t xml:space="preserve">(v. 26),</w:t>
      </w:r>
      <w:r>
        <w:t xml:space="preserve"> </w:t>
      </w:r>
      <w:r>
        <w:t xml:space="preserve">“they would not listen”</w:t>
      </w:r>
      <w:r>
        <w:t xml:space="preserve"> </w:t>
      </w:r>
      <w:r>
        <w:t xml:space="preserve">(v. 29). These are volitional descriptions. This emphasis is worth</w:t>
      </w:r>
      <w:r>
        <w:t xml:space="preserve"> </w:t>
      </w:r>
      <w:r>
        <w:rPr>
          <w:b/>
          <w:bCs/>
        </w:rPr>
        <w:t xml:space="preserve">acknowledging</w:t>
      </w:r>
      <w:r>
        <w:t xml:space="preserve"> </w:t>
      </w:r>
      <w:r>
        <w:t xml:space="preserve">— the prayer does not exculpate Israel as if they were merely victims of circumstances. However, the Wesleyan reading tends to frame the covenant renewal (v. 38) as an act of moral resolve, which the prayer’s own logic resists. If the entire preceding recital is meant to demonstrate Israel’s chronic inability to sustain resolve, the covenant binding of v. 38 cannot be grounded in moral self-confidence. The Reformed reading that sees covenant faithfulness as ultimately grounded in God’s initiative and sustaining grace accounts better for the prayer’s structural argument.</w:t>
      </w:r>
    </w:p>
    <w:p>
      <w:pPr>
        <w:pStyle w:val="BodyText"/>
      </w:pPr>
      <w:r>
        <w:rPr>
          <w:b/>
          <w:bCs/>
        </w:rPr>
        <w:t xml:space="preserve">Dispensational reading — Israel’s history as distinct from the church:</w:t>
      </w:r>
      <w:r>
        <w:t xml:space="preserve"> </w:t>
      </w:r>
      <w:r>
        <w:t xml:space="preserve">Dispensational interpreters rightly note that this prayer is specifically about Israel’s covenantal history — the Abrahamic covenant, the Mosaic law, the Land, the Davidic line — and caution against too-direct application of Israel’s national covenant experience to the church. This caution is worth</w:t>
      </w:r>
      <w:r>
        <w:t xml:space="preserve"> </w:t>
      </w:r>
      <w:r>
        <w:rPr>
          <w:b/>
          <w:bCs/>
        </w:rPr>
        <w:t xml:space="preserve">qualifying</w:t>
      </w:r>
      <w:r>
        <w:t xml:space="preserve">: the dispensational instinct to protect the particularity of Israel’s covenant history is hermeneutically sound, but the prayer’s theological grammar — God’s character expressed through His dealings with an undeserving people — has obvious canonical resonance with the new covenant community. The church does not inherit Israel’s national covenant promises in a simple one-to-one manner, but the patterns of grace, rebellion, patience, and restored covenant relationship are not merely illustrative — they are structurally formative for understanding the God who acts in both Testaments. Applications that flow from God’s</w:t>
      </w:r>
      <w:r>
        <w:t xml:space="preserve"> </w:t>
      </w:r>
      <w:r>
        <w:rPr>
          <w:i/>
          <w:iCs/>
        </w:rPr>
        <w:t xml:space="preserve">character</w:t>
      </w:r>
      <w:r>
        <w:t xml:space="preserve"> </w:t>
      </w:r>
      <w:r>
        <w:t xml:space="preserve">as displayed in this prayer are legitimate for the new covenant community, even where applications tied to the specific institutions of the Mosaic covenant are not.</w:t>
      </w:r>
    </w:p>
    <w:p>
      <w:pPr>
        <w:pStyle w:val="BodyText"/>
      </w:pPr>
      <w:r>
        <w:rPr>
          <w:b/>
          <w:bCs/>
        </w:rPr>
        <w:t xml:space="preserve">The prayer as human composition vs. Spirit-inspired Scripture:</w:t>
      </w:r>
      <w:r>
        <w:t xml:space="preserve"> </w:t>
      </w:r>
      <w:r>
        <w:t xml:space="preserve">Some interpreters treat Nehemiah 9 primarily as a liturgical-historical document — valuable as evidence of Second Temple Judaism’s theological development, but not carrying the weight of direct prophetic address. This reading must be</w:t>
      </w:r>
      <w:r>
        <w:t xml:space="preserve"> </w:t>
      </w:r>
      <w:r>
        <w:rPr>
          <w:b/>
          <w:bCs/>
        </w:rPr>
        <w:t xml:space="preserve">refuted</w:t>
      </w:r>
      <w:r>
        <w:t xml:space="preserve"> </w:t>
      </w:r>
      <w:r>
        <w:t xml:space="preserve">for evangelical exposition. The prayer is canonical Scripture, located within the narrative of God’s dealings with His restored people, and carries the full authority of inspired text. The Levites’ prayer is not merely one community’s theological reflection — it is God’s own Word about the pattern of His dealings with His people, preserved precisely because it teaches what He intends readers to know.</w:t>
      </w:r>
    </w:p>
    <w:p>
      <w:pPr>
        <w:pStyle w:val="BodyText"/>
      </w:pPr>
      <w:r>
        <w:rPr>
          <w:b/>
          <w:bCs/>
        </w:rPr>
        <w:t xml:space="preserve">The Reformed verdict:</w:t>
      </w:r>
      <w:r>
        <w:t xml:space="preserve"> </w:t>
      </w:r>
      <w:r>
        <w:t xml:space="preserve">The prayer of Nehemiah 9 is best read as a structured theological argument, doxological in its deep structure even when confessional in its surface content, designed to produce a covenant people who are simultaneously humbled about themselves and confident in God. The Primary Claim flows directly from this reading. The covenant binding of v. 38 is not an act of moral optimism — it is an act of theological clarity: because we now see the whole story and know that this God does not abandon His people, we bind ourselves to Him again.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32:1–43 (The Song of Moses):</w:t>
      </w:r>
      <w:r>
        <w:t xml:space="preserve"> </w:t>
      </w:r>
      <w:r>
        <w:t xml:space="preserve">The same theological grammar — God’s faithfulness, Israel’s rebellion, divine discipline, and ultimate redemption — appears here in Moses’ prophetic song. Nehemiah 9 draws on this structure, confirming that the cycle is not surprising to God; it is anticipated within His covenant purposes.</w:t>
      </w:r>
    </w:p>
    <w:p>
      <w:pPr>
        <w:numPr>
          <w:ilvl w:val="0"/>
          <w:numId w:val="1001"/>
        </w:numPr>
      </w:pPr>
      <w:r>
        <w:rPr>
          <w:b/>
          <w:bCs/>
        </w:rPr>
        <w:t xml:space="preserve">Psalm 78:</w:t>
      </w:r>
      <w:r>
        <w:t xml:space="preserve"> </w:t>
      </w:r>
      <w:r>
        <w:t xml:space="preserve">A lengthy recital of Israel’s wilderness failures met by God’s sustained provision and patience, explicitly designed to prevent future generations from repeating the cycle (</w:t>
      </w:r>
      <w:r>
        <w:t xml:space="preserve">“that they should not be like their fathers,”</w:t>
      </w:r>
      <w:r>
        <w:t xml:space="preserve"> </w:t>
      </w:r>
      <w:r>
        <w:t xml:space="preserve">v. 8). It shares Nehemiah 9’s pedagogical intent: covenant memory as a means of covenant fidelity.</w:t>
      </w:r>
    </w:p>
    <w:p>
      <w:pPr>
        <w:numPr>
          <w:ilvl w:val="0"/>
          <w:numId w:val="1001"/>
        </w:numPr>
      </w:pPr>
      <w:r>
        <w:rPr>
          <w:b/>
          <w:bCs/>
        </w:rPr>
        <w:t xml:space="preserve">Psalm 106:</w:t>
      </w:r>
      <w:r>
        <w:t xml:space="preserve"> </w:t>
      </w:r>
      <w:r>
        <w:t xml:space="preserve">A direct parallel to Nehemiah 9’s confessional-historical structure — Israel’s sin rehearsed from Egypt through the judges era, God’s faithfulness running alongside it. Closes with a prayer for restoration from exile, making it the closest canonical counterpart to Nehemiah 9’s setting and intent.</w:t>
      </w:r>
    </w:p>
    <w:p>
      <w:pPr>
        <w:numPr>
          <w:ilvl w:val="0"/>
          <w:numId w:val="1001"/>
        </w:numPr>
      </w:pPr>
      <w:r>
        <w:rPr>
          <w:b/>
          <w:bCs/>
        </w:rPr>
        <w:t xml:space="preserve">Romans 5:20–21 / Romans 8:31–39:</w:t>
      </w:r>
      <w:r>
        <w:t xml:space="preserve"> </w:t>
      </w:r>
      <w:r>
        <w:t xml:space="preserve">Paul’s argument that where sin abounded, grace abounded all the more, and that nothing can separate God’s people from His love, stands as the new covenant fulfillment of what Nehemiah 9 displays historically: the God whose faithfulness is not defeated by His people’s unfaithfulness.</w:t>
      </w:r>
    </w:p>
    <w:p>
      <w:pPr>
        <w:numPr>
          <w:ilvl w:val="0"/>
          <w:numId w:val="1001"/>
        </w:numPr>
      </w:pPr>
      <w:r>
        <w:rPr>
          <w:b/>
          <w:bCs/>
        </w:rPr>
        <w:t xml:space="preserve">Lamentations 3:22–23:</w:t>
      </w:r>
      <w:r>
        <w:t xml:space="preserve"> </w:t>
      </w:r>
      <w:r>
        <w:t xml:space="preserve">“The steadfast love of the LORD never ceases; his mercies never come to an end; they are new every morning.”</w:t>
      </w:r>
      <w:r>
        <w:t xml:space="preserve"> </w:t>
      </w:r>
      <w:r>
        <w:t xml:space="preserve">Written in the crisis of exile — the very judgment Nehemiah 9 rehearses — this text declares the same truth the prayer rests on: God’s</w:t>
      </w:r>
      <w:r>
        <w:t xml:space="preserve"> </w:t>
      </w:r>
      <w:r>
        <w:rPr>
          <w:i/>
          <w:iCs/>
        </w:rPr>
        <w:t xml:space="preserve">hesed</w:t>
      </w:r>
      <w:r>
        <w:t xml:space="preserve"> </w:t>
      </w:r>
      <w:r>
        <w:t xml:space="preserve">(covenant loyalty) is the fixed point when everything else has failed.</w:t>
      </w:r>
    </w:p>
    <w:p>
      <w:r>
        <w:pict>
          <v:rect style="width:0;height:1.5pt" o:hralign="center" o:hrstd="t" o:hr="t"/>
        </w:pict>
      </w:r>
    </w:p>
    <w:p>
      <w:pPr>
        <w:pStyle w:val="FirstParagraph"/>
      </w:pPr>
      <w:r>
        <w:rPr>
          <w:b/>
          <w:bCs/>
        </w:rPr>
        <w:t xml:space="preserve">Aim:</w:t>
      </w:r>
      <w:r>
        <w:t xml:space="preserve"> </w:t>
      </w:r>
      <w:r>
        <w:t xml:space="preserve">To bring the reader/hearer to a place of clear-eyed, grace-anchored covenant reorientation — seeing both God’s towering faithfulness and their own chronic failure without flinching from either, and responding with renewed commitment grounded in who God is rather than who they intend to be.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assembly gathers: fasting, sackcloth, earth on heads; separation from foreigners; confession of sin; reading of the Law for three hours, then worship for three hours</w:t>
            </w:r>
          </w:p>
        </w:tc>
        <w:tc>
          <w:tcPr/>
          <w:p>
            <w:pPr>
              <w:pStyle w:val="Compact"/>
            </w:pPr>
            <w:r>
              <w:t xml:space="preserve">Corporate, embodied repentance; the physical posture externalizes the internal condition; the Law and worship are twinned, not opposed</w:t>
            </w:r>
          </w:p>
        </w:tc>
      </w:tr>
      <w:tr>
        <w:tc>
          <w:tcPr/>
          <w:p>
            <w:pPr>
              <w:pStyle w:val="Compact"/>
            </w:pPr>
            <w:r>
              <w:t xml:space="preserve">4–5</w:t>
            </w:r>
          </w:p>
        </w:tc>
        <w:tc>
          <w:tcPr/>
          <w:p>
            <w:pPr>
              <w:pStyle w:val="Compact"/>
            </w:pPr>
            <w:r>
              <w:t xml:space="preserve">The Levites stand on the stairs and call the assembly to bless the LORD; the great doxological summons:</w:t>
            </w:r>
            <w:r>
              <w:t xml:space="preserve"> </w:t>
            </w:r>
            <w:r>
              <w:t xml:space="preserve">“Stand up and bless the LORD your God from everlasting to everlasting”</w:t>
            </w:r>
          </w:p>
        </w:tc>
        <w:tc>
          <w:tcPr/>
          <w:p>
            <w:pPr>
              <w:pStyle w:val="Compact"/>
            </w:pPr>
            <w:r>
              <w:t xml:space="preserve">The prayer is framed as worship, not merely petition; God’s eternal being is the starting point</w:t>
            </w:r>
          </w:p>
        </w:tc>
      </w:tr>
      <w:tr>
        <w:tc>
          <w:tcPr/>
          <w:p>
            <w:pPr>
              <w:pStyle w:val="Compact"/>
            </w:pPr>
            <w:r>
              <w:t xml:space="preserve">6</w:t>
            </w:r>
          </w:p>
        </w:tc>
        <w:tc>
          <w:tcPr/>
          <w:p>
            <w:pPr>
              <w:pStyle w:val="Compact"/>
            </w:pPr>
            <w:r>
              <w:t xml:space="preserve">God as sole Creator — heavens, earth, seas; all hosts of heaven worship Him</w:t>
            </w:r>
          </w:p>
        </w:tc>
        <w:tc>
          <w:tcPr/>
          <w:p>
            <w:pPr>
              <w:pStyle w:val="Compact"/>
            </w:pPr>
            <w:r>
              <w:t xml:space="preserve">Theological ground zero: who God is before what He has done; monotheism as the foundation of covenant</w:t>
            </w:r>
          </w:p>
        </w:tc>
      </w:tr>
      <w:tr>
        <w:tc>
          <w:tcPr/>
          <w:p>
            <w:pPr>
              <w:pStyle w:val="Compact"/>
            </w:pPr>
            <w:r>
              <w:t xml:space="preserve">7–8</w:t>
            </w:r>
          </w:p>
        </w:tc>
        <w:tc>
          <w:tcPr/>
          <w:p>
            <w:pPr>
              <w:pStyle w:val="Compact"/>
            </w:pPr>
            <w:r>
              <w:t xml:space="preserve">The Abrahamic covenant: God chose Abram, brought him from Ur, gave him the name Abraham, found his heart faithful, made the covenant of the land;</w:t>
            </w:r>
            <w:r>
              <w:t xml:space="preserve"> </w:t>
            </w:r>
            <w:r>
              <w:t xml:space="preserve">“You have kept your promise, for you are righteous”</w:t>
            </w:r>
          </w:p>
        </w:tc>
        <w:tc>
          <w:tcPr/>
          <w:p>
            <w:pPr>
              <w:pStyle w:val="Compact"/>
            </w:pPr>
            <w:r>
              <w:t xml:space="preserve">The covenant is entirely God’s initiative; His faithfulness to it is declared before any of Israel’s history is narrated</w:t>
            </w:r>
          </w:p>
        </w:tc>
      </w:tr>
      <w:tr>
        <w:tc>
          <w:tcPr/>
          <w:p>
            <w:pPr>
              <w:pStyle w:val="Compact"/>
            </w:pPr>
            <w:r>
              <w:t xml:space="preserve">9–11</w:t>
            </w:r>
          </w:p>
        </w:tc>
        <w:tc>
          <w:tcPr/>
          <w:p>
            <w:pPr>
              <w:pStyle w:val="Compact"/>
            </w:pPr>
            <w:r>
              <w:t xml:space="preserve">The Exodus: God saw the affliction, heard the cry, performed signs against Pharaoh, divided the sea</w:t>
            </w:r>
          </w:p>
        </w:tc>
        <w:tc>
          <w:tcPr/>
          <w:p>
            <w:pPr>
              <w:pStyle w:val="Compact"/>
            </w:pPr>
            <w:r>
              <w:t xml:space="preserve">God as deliverer; the pattern of hearing → acting that will recur throughout</w:t>
            </w:r>
          </w:p>
        </w:tc>
      </w:tr>
      <w:tr>
        <w:tc>
          <w:tcPr/>
          <w:p>
            <w:pPr>
              <w:pStyle w:val="Compact"/>
            </w:pPr>
            <w:r>
              <w:t xml:space="preserve">12–15</w:t>
            </w:r>
          </w:p>
        </w:tc>
        <w:tc>
          <w:tcPr/>
          <w:p>
            <w:pPr>
              <w:pStyle w:val="Compact"/>
            </w:pPr>
            <w:r>
              <w:t xml:space="preserve">The wilderness provision: pillar of cloud and fire; Sinai and the giving of the law; sabbath; manna and water</w:t>
            </w:r>
          </w:p>
        </w:tc>
        <w:tc>
          <w:tcPr/>
          <w:p>
            <w:pPr>
              <w:pStyle w:val="Compact"/>
            </w:pPr>
            <w:r>
              <w:t xml:space="preserve">God as sustainer and lawgiver; the gift of the law is presented as provision, not burden</w:t>
            </w:r>
          </w:p>
        </w:tc>
      </w:tr>
      <w:tr>
        <w:tc>
          <w:tcPr/>
          <w:p>
            <w:pPr>
              <w:pStyle w:val="Compact"/>
            </w:pPr>
            <w:r>
              <w:t xml:space="preserve">16–18</w:t>
            </w:r>
          </w:p>
        </w:tc>
        <w:tc>
          <w:tcPr/>
          <w:p>
            <w:pPr>
              <w:pStyle w:val="Compact"/>
            </w:pPr>
            <w:r>
              <w:t xml:space="preserve">First cycle of rebellion: the golden calf; the rejected return to Egypt;</w:t>
            </w:r>
            <w:r>
              <w:t xml:space="preserve"> </w:t>
            </w:r>
            <w:r>
              <w:t xml:space="preserve">“a God ready to forgive, gracious and merciful, slow to anger and abounding in steadfast love, and did not forsake them”</w:t>
            </w:r>
          </w:p>
        </w:tc>
        <w:tc>
          <w:tcPr/>
          <w:p>
            <w:pPr>
              <w:pStyle w:val="Compact"/>
            </w:pPr>
            <w:r>
              <w:t xml:space="preserve">The theological center of the prayer’s grammar: God’s character held steady against Israel’s failure; v. 17 is perhaps the prayer’s most important verse</w:t>
            </w:r>
          </w:p>
        </w:tc>
      </w:tr>
      <w:tr>
        <w:tc>
          <w:tcPr/>
          <w:p>
            <w:pPr>
              <w:pStyle w:val="Compact"/>
            </w:pPr>
            <w:r>
              <w:t xml:space="preserve">19–25</w:t>
            </w:r>
          </w:p>
        </w:tc>
        <w:tc>
          <w:tcPr/>
          <w:p>
            <w:pPr>
              <w:pStyle w:val="Compact"/>
            </w:pPr>
            <w:r>
              <w:t xml:space="preserve">Continued wilderness provision despite rebellion: the pillar did not depart; the Spirit given; manna continued; the Conquest; the land possessed in its fullness</w:t>
            </w:r>
          </w:p>
        </w:tc>
        <w:tc>
          <w:tcPr/>
          <w:p>
            <w:pPr>
              <w:pStyle w:val="Compact"/>
            </w:pPr>
            <w:r>
              <w:t xml:space="preserve">God’s grace is not conditional on Israel’s performance but on His own character; the gift of the land is framed as grace received, not merit earned</w:t>
            </w:r>
          </w:p>
        </w:tc>
      </w:tr>
      <w:tr>
        <w:tc>
          <w:tcPr/>
          <w:p>
            <w:pPr>
              <w:pStyle w:val="Compact"/>
            </w:pPr>
            <w:r>
              <w:t xml:space="preserve">26–28</w:t>
            </w:r>
          </w:p>
        </w:tc>
        <w:tc>
          <w:tcPr/>
          <w:p>
            <w:pPr>
              <w:pStyle w:val="Compact"/>
            </w:pPr>
            <w:r>
              <w:t xml:space="preserve">The Judges cycle: disobedience, oppression, cry, deliverance, repeated.</w:t>
            </w:r>
            <w:r>
              <w:t xml:space="preserve"> </w:t>
            </w:r>
            <w:r>
              <w:t xml:space="preserve">“They were disobedient and rebelled against you and cast your law behind their back and killed your prophets.”</w:t>
            </w:r>
            <w:r>
              <w:t xml:space="preserve"> </w:t>
            </w:r>
            <w:r>
              <w:t xml:space="preserve">Then cry → deliverance → rest → repeat</w:t>
            </w:r>
          </w:p>
        </w:tc>
        <w:tc>
          <w:tcPr/>
          <w:p>
            <w:pPr>
              <w:pStyle w:val="Compact"/>
            </w:pPr>
            <w:r>
              <w:t xml:space="preserve">The cycle is made explicit; this is not one failure but a structural pattern; the repetition in the text mimics the repetition in history</w:t>
            </w:r>
          </w:p>
        </w:tc>
      </w:tr>
      <w:tr>
        <w:tc>
          <w:tcPr/>
          <w:p>
            <w:pPr>
              <w:pStyle w:val="Compact"/>
            </w:pPr>
            <w:r>
              <w:t xml:space="preserve">29–31</w:t>
            </w:r>
          </w:p>
        </w:tc>
        <w:tc>
          <w:tcPr/>
          <w:p>
            <w:pPr>
              <w:pStyle w:val="Compact"/>
            </w:pPr>
            <w:r>
              <w:t xml:space="preserve">The prophetic era: God’s testimony through the prophets rejected; warnings unheeded; exile —</w:t>
            </w:r>
            <w:r>
              <w:t xml:space="preserve"> </w:t>
            </w:r>
            <w:r>
              <w:t xml:space="preserve">“yet you did not make an end of them or forsake them, for you are a gracious and merciful God”</w:t>
            </w:r>
          </w:p>
        </w:tc>
        <w:tc>
          <w:tcPr/>
          <w:p>
            <w:pPr>
              <w:pStyle w:val="Compact"/>
            </w:pPr>
            <w:r>
              <w:t xml:space="preserve">The limit of discipline: even exile is not abandonment; God’s character constrains the judgment</w:t>
            </w:r>
          </w:p>
        </w:tc>
      </w:tr>
      <w:tr>
        <w:tc>
          <w:tcPr/>
          <w:p>
            <w:pPr>
              <w:pStyle w:val="Compact"/>
            </w:pPr>
            <w:r>
              <w:t xml:space="preserve">32–37</w:t>
            </w:r>
          </w:p>
        </w:tc>
        <w:tc>
          <w:tcPr/>
          <w:p>
            <w:pPr>
              <w:pStyle w:val="Compact"/>
            </w:pPr>
            <w:r>
              <w:t xml:space="preserve">The present distress: Persia’s dominion; the land’s produce going to foreign kings; the people in great distress —</w:t>
            </w:r>
            <w:r>
              <w:t xml:space="preserve"> </w:t>
            </w:r>
            <w:r>
              <w:t xml:space="preserve">“we are slaves this day”</w:t>
            </w:r>
          </w:p>
        </w:tc>
        <w:tc>
          <w:tcPr/>
          <w:p>
            <w:pPr>
              <w:pStyle w:val="Compact"/>
            </w:pPr>
            <w:r>
              <w:t xml:space="preserve">The prayer arrives in the present; the confession is also a lament; the exiles are free but not free — the land is theirs but its fruit belongs to another</w:t>
            </w:r>
          </w:p>
        </w:tc>
      </w:tr>
      <w:tr>
        <w:tc>
          <w:tcPr/>
          <w:p>
            <w:pPr>
              <w:pStyle w:val="Compact"/>
            </w:pPr>
            <w:r>
              <w:t xml:space="preserve">38</w:t>
            </w:r>
          </w:p>
        </w:tc>
        <w:tc>
          <w:tcPr/>
          <w:p>
            <w:pPr>
              <w:pStyle w:val="Compact"/>
            </w:pPr>
            <w:r>
              <w:t xml:space="preserve">“Because of all this we make a firm covenant in writing”</w:t>
            </w:r>
          </w:p>
        </w:tc>
        <w:tc>
          <w:tcPr/>
          <w:p>
            <w:pPr>
              <w:pStyle w:val="Compact"/>
            </w:pPr>
            <w:r>
              <w:t xml:space="preserve">The logical conclusion of the recital: covenant renewal grounded in the whole story, not in forgetting 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Assembly Prepares: Embodied Repentance and Readiness</w:t>
            </w:r>
          </w:p>
        </w:tc>
      </w:tr>
      <w:tr>
        <w:tc>
          <w:tcPr/>
          <w:p>
            <w:pPr>
              <w:pStyle w:val="Compact"/>
            </w:pPr>
            <w:r>
              <w:t xml:space="preserve">2</w:t>
            </w:r>
          </w:p>
        </w:tc>
        <w:tc>
          <w:tcPr/>
          <w:p>
            <w:pPr>
              <w:pStyle w:val="Compact"/>
            </w:pPr>
            <w:r>
              <w:t xml:space="preserve">4–6</w:t>
            </w:r>
          </w:p>
        </w:tc>
        <w:tc>
          <w:tcPr/>
          <w:p>
            <w:pPr>
              <w:pStyle w:val="Compact"/>
            </w:pPr>
            <w:r>
              <w:t xml:space="preserve">The Doxological Foundation: God’s Eternal Being and Creation</w:t>
            </w:r>
          </w:p>
        </w:tc>
      </w:tr>
      <w:tr>
        <w:tc>
          <w:tcPr/>
          <w:p>
            <w:pPr>
              <w:pStyle w:val="Compact"/>
            </w:pPr>
            <w:r>
              <w:t xml:space="preserve">3</w:t>
            </w:r>
          </w:p>
        </w:tc>
        <w:tc>
          <w:tcPr/>
          <w:p>
            <w:pPr>
              <w:pStyle w:val="Compact"/>
            </w:pPr>
            <w:r>
              <w:t xml:space="preserve">7–8</w:t>
            </w:r>
          </w:p>
        </w:tc>
        <w:tc>
          <w:tcPr/>
          <w:p>
            <w:pPr>
              <w:pStyle w:val="Compact"/>
            </w:pPr>
            <w:r>
              <w:t xml:space="preserve">The Abrahamic Covenant: Grace Before History</w:t>
            </w:r>
          </w:p>
        </w:tc>
      </w:tr>
      <w:tr>
        <w:tc>
          <w:tcPr/>
          <w:p>
            <w:pPr>
              <w:pStyle w:val="Compact"/>
            </w:pPr>
            <w:r>
              <w:t xml:space="preserve">4</w:t>
            </w:r>
          </w:p>
        </w:tc>
        <w:tc>
          <w:tcPr/>
          <w:p>
            <w:pPr>
              <w:pStyle w:val="Compact"/>
            </w:pPr>
            <w:r>
              <w:t xml:space="preserve">9–15</w:t>
            </w:r>
          </w:p>
        </w:tc>
        <w:tc>
          <w:tcPr/>
          <w:p>
            <w:pPr>
              <w:pStyle w:val="Compact"/>
            </w:pPr>
            <w:r>
              <w:t xml:space="preserve">Exodus and Sinai: God as Deliverer and Lawgiver</w:t>
            </w:r>
          </w:p>
        </w:tc>
      </w:tr>
      <w:tr>
        <w:tc>
          <w:tcPr/>
          <w:p>
            <w:pPr>
              <w:pStyle w:val="Compact"/>
            </w:pPr>
            <w:r>
              <w:t xml:space="preserve">5</w:t>
            </w:r>
          </w:p>
        </w:tc>
        <w:tc>
          <w:tcPr/>
          <w:p>
            <w:pPr>
              <w:pStyle w:val="Compact"/>
            </w:pPr>
            <w:r>
              <w:t xml:space="preserve">16–25</w:t>
            </w:r>
          </w:p>
        </w:tc>
        <w:tc>
          <w:tcPr/>
          <w:p>
            <w:pPr>
              <w:pStyle w:val="Compact"/>
            </w:pPr>
            <w:r>
              <w:t xml:space="preserve">The Wilderness Cycle: First Rebellion and Unrelenting Grace</w:t>
            </w:r>
          </w:p>
        </w:tc>
      </w:tr>
      <w:tr>
        <w:tc>
          <w:tcPr/>
          <w:p>
            <w:pPr>
              <w:pStyle w:val="Compact"/>
            </w:pPr>
            <w:r>
              <w:t xml:space="preserve">6</w:t>
            </w:r>
          </w:p>
        </w:tc>
        <w:tc>
          <w:tcPr/>
          <w:p>
            <w:pPr>
              <w:pStyle w:val="Compact"/>
            </w:pPr>
            <w:r>
              <w:t xml:space="preserve">26–31</w:t>
            </w:r>
          </w:p>
        </w:tc>
        <w:tc>
          <w:tcPr/>
          <w:p>
            <w:pPr>
              <w:pStyle w:val="Compact"/>
            </w:pPr>
            <w:r>
              <w:t xml:space="preserve">The Conquest Through Exile: The Repeating Pattern Named and Sustained</w:t>
            </w:r>
          </w:p>
        </w:tc>
      </w:tr>
      <w:tr>
        <w:tc>
          <w:tcPr/>
          <w:p>
            <w:pPr>
              <w:pStyle w:val="Compact"/>
            </w:pPr>
            <w:r>
              <w:t xml:space="preserve">7</w:t>
            </w:r>
          </w:p>
        </w:tc>
        <w:tc>
          <w:tcPr/>
          <w:p>
            <w:pPr>
              <w:pStyle w:val="Compact"/>
            </w:pPr>
            <w:r>
              <w:t xml:space="preserve">32–37</w:t>
            </w:r>
          </w:p>
        </w:tc>
        <w:tc>
          <w:tcPr/>
          <w:p>
            <w:pPr>
              <w:pStyle w:val="Compact"/>
            </w:pPr>
            <w:r>
              <w:t xml:space="preserve">The Present Reckoning: Honest Lament Before God</w:t>
            </w:r>
          </w:p>
        </w:tc>
      </w:tr>
      <w:tr>
        <w:tc>
          <w:tcPr/>
          <w:p>
            <w:pPr>
              <w:pStyle w:val="Compact"/>
            </w:pPr>
            <w:r>
              <w:t xml:space="preserve">8</w:t>
            </w:r>
          </w:p>
        </w:tc>
        <w:tc>
          <w:tcPr/>
          <w:p>
            <w:pPr>
              <w:pStyle w:val="Compact"/>
            </w:pPr>
            <w:r>
              <w:t xml:space="preserve">38</w:t>
            </w:r>
          </w:p>
        </w:tc>
        <w:tc>
          <w:tcPr/>
          <w:p>
            <w:pPr>
              <w:pStyle w:val="Compact"/>
            </w:pPr>
            <w:r>
              <w:t xml:space="preserve">The Covenant Response: Binding Commitment Grounded in Clear Sight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covenant faithfulness towers over Israel’s unbroken record of rebellion — and demands a renewed covenant response.</w:t>
      </w:r>
    </w:p>
    <w:p>
      <w:pPr>
        <w:pStyle w:val="BodyText"/>
      </w:pPr>
      <w:r>
        <w:rPr>
          <w:b/>
          <w:bCs/>
        </w:rPr>
        <w:t xml:space="preserve">Primary Claim:</w:t>
      </w:r>
      <w:r>
        <w:t xml:space="preserve"> </w:t>
      </w:r>
      <w:r>
        <w:t xml:space="preserve">God is calling His people to see the whole story of their failure and His faithfulness together, so that their covenant renewal is grounded not in optimism about themselves but in confidence in Him — and so that they stop treating grace as license and start treating it as a summons.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See the whole story — not the edited version.</w:t>
      </w:r>
      <w:r>
        <w:t xml:space="preserve"> </w:t>
      </w:r>
      <w:r>
        <w:rPr>
          <w:i/>
          <w:iCs/>
        </w:rPr>
        <w:t xml:space="preserve">(Mind/belief)</w:t>
      </w:r>
      <w:r>
        <w:t xml:space="preserve"> </w:t>
      </w:r>
      <w:r>
        <w:t xml:space="preserve">The Levites did not begin this prayer by reminding the people of their recent spiritual high (the weeping over the Word in chapter 8). They began by going back to creation, to Abraham, to the golden calf — to every failure the people might wish were forgotten. Corporate and personal spiritual health requires this kind of unedited historical honesty. The congregation that only remembers its victories and forgets its cycles of failure is setting itself up to repeat them. The individual believer who keeps a spiritual résumé of high moments but refuses to name the patterns of chronic sin is not confessing — they are managing appearances. Nehemiah 9 calls you to see your whole story, laid out before God without redaction, as the necessary ground for any genuine covenant renewal.</w:t>
      </w:r>
    </w:p>
    <w:p>
      <w:pPr>
        <w:pStyle w:val="BodyText"/>
      </w:pPr>
      <w:r>
        <w:rPr>
          <w:b/>
          <w:bCs/>
        </w:rPr>
        <w:t xml:space="preserve">2. Let God’s character — not your performance — be your stability.</w:t>
      </w:r>
      <w:r>
        <w:t xml:space="preserve"> </w:t>
      </w:r>
      <w:r>
        <w:rPr>
          <w:i/>
          <w:iCs/>
        </w:rPr>
        <w:t xml:space="preserve">(Affections/worship)</w:t>
      </w:r>
      <w:r>
        <w:t xml:space="preserve"> </w:t>
      </w:r>
      <w:r>
        <w:t xml:space="preserve">The prayer’s most theologically load-bearing verse is verse 17:</w:t>
      </w:r>
      <w:r>
        <w:t xml:space="preserve"> </w:t>
      </w:r>
      <w:r>
        <w:t xml:space="preserve">“you are a God ready to forgive, gracious and merciful, slow to anger and abounding in steadfast love, and did not forsake them.”</w:t>
      </w:r>
      <w:r>
        <w:t xml:space="preserve"> </w:t>
      </w:r>
      <w:r>
        <w:t xml:space="preserve">This is stated at the moment of Israel’s worst wilderness failure, not at a moment of Israel’s faithfulness. The Levites are teaching the people where to anchor their souls — not in the community’s track record (which the prayer has just shown to be catastrophic) but in God’s character, which holds steady through every cycle. The believer who roots their confidence in their own recent faithfulness will be destabilized by their next failure. The believer who roots their confidence in God’s</w:t>
      </w:r>
      <w:r>
        <w:t xml:space="preserve"> </w:t>
      </w:r>
      <w:r>
        <w:rPr>
          <w:i/>
          <w:iCs/>
        </w:rPr>
        <w:t xml:space="preserve">hesed</w:t>
      </w:r>
      <w:r>
        <w:t xml:space="preserve"> </w:t>
      </w:r>
      <w:r>
        <w:t xml:space="preserve">— His covenant loyalty that does not depend on theirs — has found the anchor that holds in every storm. This is not a call to complacency; it is a call to worship the right thing.</w:t>
      </w:r>
    </w:p>
    <w:p>
      <w:pPr>
        <w:pStyle w:val="BodyText"/>
      </w:pPr>
      <w:r>
        <w:rPr>
          <w:b/>
          <w:bCs/>
        </w:rPr>
        <w:t xml:space="preserve">3. Name the present distress honestly rather than spiritually managing it.</w:t>
      </w:r>
      <w:r>
        <w:t xml:space="preserve"> </w:t>
      </w:r>
      <w:r>
        <w:rPr>
          <w:i/>
          <w:iCs/>
        </w:rPr>
        <w:t xml:space="preserve">(Affections/worship)</w:t>
      </w:r>
      <w:r>
        <w:t xml:space="preserve"> </w:t>
      </w:r>
      <w:r>
        <w:t xml:space="preserve">Verses 32–37 are striking for their refusal to spiritualize the community’s condition. The people are living on the land God gave them, but the land’s produce goes to a foreign king. They are returned from exile, but they are still, in a real sense, slaves. The Levites do not reframe this as a hidden blessing or rush past it to a triumphalist conclusion. They lay it before God plainly:</w:t>
      </w:r>
      <w:r>
        <w:t xml:space="preserve"> </w:t>
      </w:r>
      <w:r>
        <w:t xml:space="preserve">“We are in great distress.”</w:t>
      </w:r>
      <w:r>
        <w:t xml:space="preserve"> </w:t>
      </w:r>
      <w:r>
        <w:t xml:space="preserve">Christian communities and individual believers are often poorly equipped to lament honestly — the instinct to perform spiritual contentment or skip to the resurrection can prevent genuine encounter with God in real suffering. Nehemiah 9 models a worship that holds lament and doxology in the same prayer, because the God who is</w:t>
      </w:r>
      <w:r>
        <w:t xml:space="preserve"> </w:t>
      </w:r>
      <w:r>
        <w:t xml:space="preserve">“great, mighty, and awesome”</w:t>
      </w:r>
      <w:r>
        <w:t xml:space="preserve"> </w:t>
      </w:r>
      <w:r>
        <w:t xml:space="preserve">(v. 32) is also fully capable of receiving the honest cry</w:t>
      </w:r>
      <w:r>
        <w:t xml:space="preserve"> </w:t>
      </w:r>
      <w:r>
        <w:t xml:space="preserve">“we are in great distress”</w:t>
      </w:r>
      <w:r>
        <w:t xml:space="preserve"> </w:t>
      </w:r>
      <w:r>
        <w:t xml:space="preserve">(v. 37). Bring both — and refuse to sacrifice either to the other.</w:t>
      </w:r>
    </w:p>
    <w:p>
      <w:pPr>
        <w:pStyle w:val="BodyText"/>
      </w:pPr>
      <w:r>
        <w:rPr>
          <w:b/>
          <w:bCs/>
        </w:rPr>
        <w:t xml:space="preserve">4. Recognize grace as a summons, not a safety net.</w:t>
      </w:r>
      <w:r>
        <w:t xml:space="preserve"> </w:t>
      </w:r>
      <w:r>
        <w:rPr>
          <w:i/>
          <w:iCs/>
        </w:rPr>
        <w:t xml:space="preserve">(Will/behavior)</w:t>
      </w:r>
      <w:r>
        <w:t xml:space="preserve"> </w:t>
      </w:r>
      <w:r>
        <w:t xml:space="preserve">The prayer establishes beyond any doubt that God did not abandon Israel despite chronic rebellion — but the purpose of establishing that is not to make the people comfortable with further rebellion. The entire recital is designed to lead to verse 38:</w:t>
      </w:r>
      <w:r>
        <w:t xml:space="preserve"> </w:t>
      </w:r>
      <w:r>
        <w:t xml:space="preserve">“because of all this, we make a firm covenant.”</w:t>
      </w:r>
      <w:r>
        <w:t xml:space="preserve"> </w:t>
      </w:r>
      <w:r>
        <w:t xml:space="preserve">The grace that sustained Israel through every cycle of failure is not presented as a guarantee that the cycle will continue indefinitely without consequence — it is presented as the motivation for binding covenant fidelity. For the congregation hearing this text, the danger is using God’s patience as implicit permission to defer obedience, to soften sin’s seriousness, or to treat renewal as something that can always happen later. The right response to the God of verse 17 — ready to forgive, slow to anger, abounding in steadfast love — is not relief that the cycle can continue but binding commitment to break it, grounded precisely in what His grace has cost.</w:t>
      </w:r>
    </w:p>
    <w:p>
      <w:pPr>
        <w:pStyle w:val="BodyText"/>
      </w:pPr>
      <w:r>
        <w:rPr>
          <w:b/>
          <w:bCs/>
        </w:rPr>
        <w:t xml:space="preserve">5. Engage in corporate reckoning, not merely private spirituality.</w:t>
      </w:r>
      <w:r>
        <w:t xml:space="preserve"> </w:t>
      </w:r>
      <w:r>
        <w:rPr>
          <w:i/>
          <w:iCs/>
        </w:rPr>
        <w:t xml:space="preserve">(Will/behavior)</w:t>
      </w:r>
      <w:r>
        <w:t xml:space="preserve"> </w:t>
      </w:r>
      <w:r>
        <w:t xml:space="preserve">Nehemiah 9 is a corporate act. The Levites lead the whole assembly in naming the whole story. The confession is not</w:t>
      </w:r>
      <w:r>
        <w:t xml:space="preserve"> </w:t>
      </w:r>
      <w:r>
        <w:t xml:space="preserve">“I have sinned”</w:t>
      </w:r>
      <w:r>
        <w:t xml:space="preserve"> </w:t>
      </w:r>
      <w:r>
        <w:t xml:space="preserve">but</w:t>
      </w:r>
      <w:r>
        <w:t xml:space="preserve"> </w:t>
      </w:r>
      <w:r>
        <w:t xml:space="preserve">“we have sinned”</w:t>
      </w:r>
      <w:r>
        <w:t xml:space="preserve"> </w:t>
      </w:r>
      <w:r>
        <w:t xml:space="preserve">— and crucially, the</w:t>
      </w:r>
      <w:r>
        <w:t xml:space="preserve"> </w:t>
      </w:r>
      <w:r>
        <w:t xml:space="preserve">“we”</w:t>
      </w:r>
      <w:r>
        <w:t xml:space="preserve"> </w:t>
      </w:r>
      <w:r>
        <w:t xml:space="preserve">spans generations: the people confessing in 444 BC are identifying with the failures at the golden calf, in the judges period, through the prophetic era. This is a theological category that individualistic Christianity often lacks: corporate, generational, covenant identity. Congregations need to develop the practice of corporate reckoning — naming the patterns of the community, not just the sins of individuals; identifying what the church as a body has repeatedly failed at; and binding themselves together to a renewed covenant walk. This is not collective guilt in a psychological sense — it is covenant realism about what a community is and what it is responsible for before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Nehemiah 9 teaches that God’s</w:t>
      </w:r>
      <w:r>
        <w:t xml:space="preserve"> </w:t>
      </w:r>
      <w:r>
        <w:rPr>
          <w:i/>
          <w:iCs/>
        </w:rPr>
        <w:t xml:space="preserve">hesed</w:t>
      </w:r>
      <w:r>
        <w:t xml:space="preserve"> </w:t>
      </w:r>
      <w:r>
        <w:t xml:space="preserve">— His covenant faithfulness — is not a variable that rises and falls with His people’s performance. It is an attribute of His character, expressed consistently across every phase of Israel’s history, including the phases of deepest rebellion. The prayer presents God as Creator, Covenant-maker, Deliverer, Lawgiver, Provider, and Patient Sustainer — a full-orbed portrait of divine character that refuses to be collapsed into any single attribute. Crucially, the prayer holds together God’s justice and His mercy without forcing them into contradiction: God disciplines through exile (v. 30), yet</w:t>
      </w:r>
      <w:r>
        <w:t xml:space="preserve"> </w:t>
      </w:r>
      <w:r>
        <w:t xml:space="preserve">“did not make an end of them or forsake them, for you are a gracious and merciful God”</w:t>
      </w:r>
      <w:r>
        <w:t xml:space="preserve"> </w:t>
      </w:r>
      <w:r>
        <w:t xml:space="preserve">(v. 31). This is not divine inconsistency — it is the complex faithfulness of a covenant God whose purposes run deeper than any single moment of discipline or restoration. The prayer also teaches that history — real, particular, covenantal history — is the proper medium through which God’s character is known. Abstract theological statements about God’s mercy are given their weight by the specific acts the prayer rehearses.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Nehemiah 9 is a sustained demonstration of sovereign, persevering grace operating through an uncooperative human covenant partner. The Reformed doctrine of perseverance of the saints finds its Old Testament foundation not primarily in individual promises but in exactly this kind of covenantal history: God does not abandon His covenant people despite their comprehensive failure to deserve His continued faithfulness. The prayer is also a strong biblical argument against the notion that covenant blessing is conditioned on sustained human faithfulness — Israel’s possession of the land, provision in the wilderness, and deliverance from enemies are all narrated as flowing from God’s initiative and character, not from Israel’s merit. The covenantal grammar of Nehemiah 9 — promise, failure, discipline, restoration — maps directly onto the new covenant in Christ, where the believer’s standing before God rests not on their covenant faithfulness but on Christ’s. Furthermore, the prayer’s movement from honest confession to confident covenant renewal models the Reformed understanding of repentance as not merely guilt-management but gospel-grounded reorientation: we can bind ourselves to God again not because we have now resolved to do better but because the God to whom we bind ourselves has demonstrated that He does not let go.</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faithfulness has never been defeated by your failure — not once in the whole history of His dealings with His people. But that faithfulness is not an invitation to coast; it is a summons to clarity. See the whole story. See yourself in it. And then bind yourself again to the God who has never stopped being ready to forgive, gracious and merciful, slow to anger, and abounding in steadfast love — not because you feel ready, but because He has earned your trust.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historical survey as merely informational.</w:t>
      </w:r>
      <w:r>
        <w:t xml:space="preserve"> </w:t>
      </w:r>
      <w:r>
        <w:t xml:space="preserve">The temptation when dealing with a long recital of Israelite history is to spend the majority of the sermon explaining who the judges were, what the Abrahamic covenant entailed, or what happened at Sinai — and to emerge with a congregation better informed about Israelite history but unchanged in their orientation toward God. The history in Nehemiah 9 is not content to be communicated; it is a theological argument to be felt. The preacher must constantly ask: what is this moment in the recital</w:t>
      </w:r>
      <w:r>
        <w:t xml:space="preserve"> </w:t>
      </w:r>
      <w:r>
        <w:rPr>
          <w:i/>
          <w:iCs/>
        </w:rPr>
        <w:t xml:space="preserve">doing</w:t>
      </w:r>
      <w:r>
        <w:t xml:space="preserve">? What is God seeking to accomplish by naming this particular failure or this particular act of grace here? The pattern — not the episodes — is the point.</w:t>
      </w:r>
    </w:p>
    <w:p>
      <w:pPr>
        <w:numPr>
          <w:ilvl w:val="0"/>
          <w:numId w:val="1002"/>
        </w:numPr>
      </w:pPr>
      <w:r>
        <w:rPr>
          <w:b/>
          <w:bCs/>
        </w:rPr>
        <w:t xml:space="preserve">Making this primarily a sermon about confession and missing the doxological frame.</w:t>
      </w:r>
      <w:r>
        <w:t xml:space="preserve"> </w:t>
      </w:r>
      <w:r>
        <w:t xml:space="preserve">Nehemiah 9 is often preached as a text about the importance of corporate confession, which is true but insufficient. The prayer is structured doxologically — it begins with</w:t>
      </w:r>
      <w:r>
        <w:t xml:space="preserve"> </w:t>
      </w:r>
      <w:r>
        <w:t xml:space="preserve">“Stand up and bless the LORD”</w:t>
      </w:r>
      <w:r>
        <w:t xml:space="preserve"> </w:t>
      </w:r>
      <w:r>
        <w:t xml:space="preserve">and spends far more verses on God’s acts than on Israel’s sins. A sermon that centers the confession at the expense of the praise has inverted the prayer’s own structure. The confession gains its weight precisely because it is set against the backdrop of God’s towering faithfulness — preaching only the confession without the doxological architecture produces guilt without anchor.</w:t>
      </w:r>
    </w:p>
    <w:p>
      <w:pPr>
        <w:numPr>
          <w:ilvl w:val="0"/>
          <w:numId w:val="1002"/>
        </w:numPr>
      </w:pPr>
      <w:r>
        <w:rPr>
          <w:b/>
          <w:bCs/>
        </w:rPr>
        <w:t xml:space="preserve">Importing cheap grace at verse 17.</w:t>
      </w:r>
      <w:r>
        <w:t xml:space="preserve"> </w:t>
      </w:r>
      <w:r>
        <w:t xml:space="preserve">“A God ready to forgive, gracious and merciful, slow to anger and abounding in steadfast love”</w:t>
      </w:r>
      <w:r>
        <w:t xml:space="preserve"> </w:t>
      </w:r>
      <w:r>
        <w:t xml:space="preserve">(v. 17) is one of Scripture’s great statements of divine character, and it is at risk of being preached in a way that effectively tells the congregation:</w:t>
      </w:r>
      <w:r>
        <w:t xml:space="preserve"> </w:t>
      </w:r>
      <w:r>
        <w:t xml:space="preserve">“No matter how many times you fail, God will forgive you — so don’t be too hard on yourself.”</w:t>
      </w:r>
      <w:r>
        <w:t xml:space="preserve"> </w:t>
      </w:r>
      <w:r>
        <w:t xml:space="preserve">The prayer’s own structure resists this. Verse 17’s statement of God’s character is positioned at the moment of Israel’s worst failure not to normalize failure but to drive the community to the covenant response of verse 38. The grace that is</w:t>
      </w:r>
      <w:r>
        <w:t xml:space="preserve"> </w:t>
      </w:r>
      <w:r>
        <w:t xml:space="preserve">“ready to forgive”</w:t>
      </w:r>
      <w:r>
        <w:t xml:space="preserve"> </w:t>
      </w:r>
      <w:r>
        <w:t xml:space="preserve">is the same grace that insists</w:t>
      </w:r>
      <w:r>
        <w:t xml:space="preserve"> </w:t>
      </w:r>
      <w:r>
        <w:t xml:space="preserve">“because of all this, we make a firm covenant.”</w:t>
      </w:r>
      <w:r>
        <w:t xml:space="preserve"> </w:t>
      </w:r>
      <w:r>
        <w:t xml:space="preserve">Preach the mercy and the summons together.</w:t>
      </w:r>
    </w:p>
    <w:p>
      <w:pPr>
        <w:numPr>
          <w:ilvl w:val="0"/>
          <w:numId w:val="1002"/>
        </w:numPr>
      </w:pPr>
      <w:r>
        <w:rPr>
          <w:b/>
          <w:bCs/>
        </w:rPr>
        <w:t xml:space="preserve">Treating verse 38 as the emotional climax rather than the logical conclusion.</w:t>
      </w:r>
      <w:r>
        <w:t xml:space="preserve"> </w:t>
      </w:r>
      <w:r>
        <w:t xml:space="preserve">The covenant binding of v. 38 can be preached as a stirring moment of spiritual resolve — the people finally turning a corner, finally committing themselves. This reading misses that the entire preceding recital has been designed to show that spiritual resolve, on its own, has never been sufficient. The people at Sinai made a covenant. The people in Joshua’s day made a covenant. Each covenant was subsequently broken. Verse 38 is not a moment of moral optimism — it is an act of theological realism: we bind ourselves not because we are different from our ancestors in our moral capacity, but because the God who has sustained the covenant through every previous failure is still the God we are binding ourselves to. The emotional register of the covenant binding should be humble confidence, not triumphalism.</w:t>
      </w:r>
    </w:p>
    <w:p>
      <w:pPr>
        <w:numPr>
          <w:ilvl w:val="0"/>
          <w:numId w:val="1002"/>
        </w:numPr>
      </w:pPr>
      <w:r>
        <w:rPr>
          <w:b/>
          <w:bCs/>
        </w:rPr>
        <w:t xml:space="preserve">Failing to connect the prayer’s theological grammar to Christ.</w:t>
      </w:r>
      <w:r>
        <w:t xml:space="preserve"> </w:t>
      </w:r>
      <w:r>
        <w:t xml:space="preserve">The pattern Nehemiah 9 displays — God’s faithfulness persisting through His people’s failure, ultimately securing the covenant they cannot secure themselves — reaches its fulfillment in Christ, who is both the faithful covenant partner Israel never was and the one in whom the new covenant community is held. A sermon on Nehemiah 9 that ends with the people of Israel making a firm covenant without noting that the ultimate firm covenant-keeper is Jesus will leave the congregation with Israel’s problem (we must now resolve to do better) rather than the gospel’s answer (the one in whom we are hidden has already done what we could not). This does not require a forced Christological pivot — the prayer’s own logic of grace sustaining the unfaithful leads naturally to the question: where does that grace ultimately come from and where does it ultimately land?</w:t>
      </w:r>
    </w:p>
    <w:p>
      <w:pPr>
        <w:numPr>
          <w:ilvl w:val="0"/>
          <w:numId w:val="1002"/>
        </w:numPr>
      </w:pPr>
      <w:r>
        <w:rPr>
          <w:b/>
          <w:bCs/>
        </w:rPr>
        <w:t xml:space="preserve">Skipping the lament of verses 32–37 in favor of resolution.</w:t>
      </w:r>
      <w:r>
        <w:t xml:space="preserve"> </w:t>
      </w:r>
      <w:r>
        <w:t xml:space="preserve">The prayer does not move cleanly from historical recital to joyful covenant renewal. It passes through honest lament —</w:t>
      </w:r>
      <w:r>
        <w:t xml:space="preserve"> </w:t>
      </w:r>
      <w:r>
        <w:t xml:space="preserve">“we are slaves this day in the land that you gave to our fathers”</w:t>
      </w:r>
      <w:r>
        <w:t xml:space="preserve"> </w:t>
      </w:r>
      <w:r>
        <w:t xml:space="preserve">(v. 36). Preachers who are uncomfortable with lament will be tempted to treat this section as transitional and move quickly to verse 38. But the lament is doing essential work: it is teaching the community that honest engagement with present distress is not incompatible with covenant faithfulness, and that God can receive the full weight of the community’s grief without it threatening the relationship. A congregation that never learns to lament honestly before God is a congregation that will either suppress genuine pain or lose its faith when pain becomes too great to suppress.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2026-07-14T21:03:45Z</dcterms:created>
  <dcterms:modified xsi:type="dcterms:W3CDTF">2026-07-14T21:03:45Z</dcterms:modified>
</cp:coreProperties>
</file>

<file path=docProps/custom.xml><?xml version="1.0" encoding="utf-8"?>
<Properties xmlns="http://schemas.openxmlformats.org/officeDocument/2006/custom-properties" xmlns:vt="http://schemas.openxmlformats.org/officeDocument/2006/docPropsVTypes"/>
</file>